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5030" w:type="dxa"/>
        <w:tblInd w:w="-236" w:type="dxa"/>
        <w:tblLayout w:type="fixed"/>
        <w:tblCellMar>
          <w:top w:w="0" w:type="dxa"/>
          <w:left w:w="0" w:type="dxa"/>
          <w:bottom w:w="0" w:type="dxa"/>
          <w:right w:w="0" w:type="dxa"/>
        </w:tblCellMar>
      </w:tblPr>
      <w:tblGrid>
        <w:gridCol w:w="1065"/>
        <w:gridCol w:w="1029"/>
        <w:gridCol w:w="8151"/>
        <w:gridCol w:w="2175"/>
        <w:gridCol w:w="990"/>
        <w:gridCol w:w="870"/>
        <w:gridCol w:w="750"/>
      </w:tblGrid>
      <w:tr>
        <w:tblPrEx>
          <w:tblCellMar>
            <w:top w:w="0" w:type="dxa"/>
            <w:left w:w="0" w:type="dxa"/>
            <w:bottom w:w="0" w:type="dxa"/>
            <w:right w:w="0" w:type="dxa"/>
          </w:tblCellMar>
        </w:tblPrEx>
        <w:trPr>
          <w:trHeight w:val="898" w:hRule="atLeast"/>
        </w:trPr>
        <w:tc>
          <w:tcPr>
            <w:tcW w:w="15030" w:type="dxa"/>
            <w:gridSpan w:val="7"/>
            <w:tcBorders>
              <w:top w:val="nil"/>
              <w:left w:val="nil"/>
              <w:bottom w:val="nil"/>
              <w:right w:val="nil"/>
            </w:tcBorders>
            <w:shd w:val="clear" w:color="auto" w:fill="auto"/>
            <w:noWrap/>
            <w:tcMar>
              <w:top w:w="15" w:type="dxa"/>
              <w:left w:w="15" w:type="dxa"/>
              <w:right w:w="15" w:type="dxa"/>
            </w:tcMar>
            <w:vAlign w:val="center"/>
          </w:tcPr>
          <w:p>
            <w:pPr>
              <w:widowControl/>
              <w:spacing w:line="440" w:lineRule="exact"/>
              <w:jc w:val="center"/>
              <w:textAlignment w:val="center"/>
              <w:rPr>
                <w:rFonts w:ascii="方正小标宋简体" w:hAnsi="方正小标宋简体" w:eastAsia="方正小标宋简体" w:cs="方正小标宋简体"/>
                <w:color w:val="000000"/>
                <w:sz w:val="36"/>
                <w:szCs w:val="36"/>
              </w:rPr>
            </w:pPr>
            <w:bookmarkStart w:id="0" w:name="_GoBack"/>
            <w:r>
              <w:rPr>
                <w:rFonts w:hint="eastAsia" w:ascii="方正小标宋简体" w:hAnsi="方正小标宋简体" w:eastAsia="方正小标宋简体" w:cs="方正小标宋简体"/>
                <w:color w:val="000000"/>
                <w:kern w:val="0"/>
                <w:sz w:val="44"/>
                <w:szCs w:val="44"/>
              </w:rPr>
              <w:t>成都市双流区中小学、幼儿园</w:t>
            </w:r>
            <w:r>
              <w:rPr>
                <w:rStyle w:val="7"/>
                <w:rFonts w:eastAsia="方正小标宋简体"/>
                <w:sz w:val="44"/>
                <w:szCs w:val="44"/>
              </w:rPr>
              <w:t>2020</w:t>
            </w:r>
            <w:r>
              <w:rPr>
                <w:rStyle w:val="8"/>
                <w:rFonts w:hint="default"/>
                <w:sz w:val="44"/>
                <w:szCs w:val="44"/>
              </w:rPr>
              <w:t>年春季开学复课条件评估细则</w:t>
            </w:r>
            <w:bookmarkEnd w:id="0"/>
          </w:p>
        </w:tc>
      </w:tr>
      <w:tr>
        <w:tblPrEx>
          <w:tblCellMar>
            <w:top w:w="0" w:type="dxa"/>
            <w:left w:w="0" w:type="dxa"/>
            <w:bottom w:w="0" w:type="dxa"/>
            <w:right w:w="0" w:type="dxa"/>
          </w:tblCellMar>
        </w:tblPrEx>
        <w:trPr>
          <w:trHeight w:val="840" w:hRule="atLeast"/>
        </w:trPr>
        <w:tc>
          <w:tcPr>
            <w:tcW w:w="15030" w:type="dxa"/>
            <w:gridSpan w:val="7"/>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rPr>
              <w:t xml:space="preserve">  学校名称（盖章）：                                                学校负责人（签字）：</w:t>
            </w:r>
          </w:p>
        </w:tc>
      </w:tr>
      <w:tr>
        <w:tblPrEx>
          <w:tblCellMar>
            <w:top w:w="0" w:type="dxa"/>
            <w:left w:w="0" w:type="dxa"/>
            <w:bottom w:w="0" w:type="dxa"/>
            <w:right w:w="0" w:type="dxa"/>
          </w:tblCellMar>
        </w:tblPrEx>
        <w:trPr>
          <w:trHeight w:val="1055"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检查项目</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具体内容</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ind w:firstLine="210" w:firstLineChars="100"/>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评估要点</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核验方式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学校</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自查</w:t>
            </w:r>
            <w:r>
              <w:rPr>
                <w:rFonts w:hint="eastAsia" w:ascii="方正仿宋_GBK" w:hAnsi="方正仿宋_GBK" w:eastAsia="方正仿宋_GBK" w:cs="方正仿宋_GBK"/>
                <w:b/>
                <w:color w:val="000000"/>
                <w:kern w:val="0"/>
                <w:szCs w:val="21"/>
              </w:rPr>
              <w:br w:type="textWrapping"/>
            </w:r>
            <w:r>
              <w:rPr>
                <w:rFonts w:hint="eastAsia" w:ascii="方正仿宋_GBK" w:hAnsi="方正仿宋_GBK" w:eastAsia="方正仿宋_GBK" w:cs="方正仿宋_GBK"/>
                <w:b/>
                <w:color w:val="000000"/>
                <w:kern w:val="0"/>
                <w:szCs w:val="21"/>
              </w:rPr>
              <w:t>（是</w:t>
            </w:r>
            <w:r>
              <w:rPr>
                <w:rStyle w:val="9"/>
                <w:rFonts w:eastAsia="方正仿宋_GBK"/>
              </w:rPr>
              <w:t>/</w:t>
            </w:r>
            <w:r>
              <w:rPr>
                <w:rFonts w:hint="eastAsia" w:ascii="方正仿宋_GBK" w:hAnsi="方正仿宋_GBK" w:eastAsia="方正仿宋_GBK" w:cs="方正仿宋_GBK"/>
                <w:b/>
                <w:color w:val="000000"/>
                <w:kern w:val="0"/>
                <w:szCs w:val="21"/>
              </w:rPr>
              <w:t>否达标）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督查组评估（是</w:t>
            </w:r>
            <w:r>
              <w:rPr>
                <w:rStyle w:val="9"/>
                <w:rFonts w:eastAsia="方正仿宋_GBK"/>
              </w:rPr>
              <w:t>/</w:t>
            </w:r>
            <w:r>
              <w:rPr>
                <w:rFonts w:hint="eastAsia" w:ascii="方正仿宋_GBK" w:hAnsi="方正仿宋_GBK" w:eastAsia="方正仿宋_GBK" w:cs="方正仿宋_GBK"/>
                <w:b/>
                <w:color w:val="000000"/>
                <w:kern w:val="0"/>
                <w:szCs w:val="21"/>
              </w:rPr>
              <w:t>否达标）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60" w:lineRule="exact"/>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备注</w:t>
            </w:r>
          </w:p>
        </w:tc>
      </w:tr>
      <w:tr>
        <w:tblPrEx>
          <w:tblCellMar>
            <w:top w:w="0" w:type="dxa"/>
            <w:left w:w="0" w:type="dxa"/>
            <w:bottom w:w="0" w:type="dxa"/>
            <w:right w:w="0" w:type="dxa"/>
          </w:tblCellMar>
        </w:tblPrEx>
        <w:trPr>
          <w:trHeight w:val="8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（一）</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防控措施</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两案</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开学工作方案（精准做到分段分批、一班一策），方案是否含师生分期分批错峰返校具体措施，是否覆盖开学报到、集中开课、师生就餐、上学放学等重点环节，家底是否清楚，岗位职责是否明确，责任是否到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是否制定学校新冠肺炎防控应急预案。随机访谈教职员工应急处置流程知悉情况。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九制</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是否制定新冠肺炎报告制度及突发公共卫生事件的报告制度。是否责任具体到人，是否明确报送途径、流程。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是否制定师生晨、午、晚检制度。是否明确各环节负责人，相关人员是否熟悉发现问题后的处置流程，工作人员现场演示操作、记录是否规范。</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83"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是否制定因病缺课登记与病因追踪报告制度。是否责任具体到人，是否明确登记追踪流程。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是否制定复课证明查验制度。是否责任具体到人，是否明确处置流程。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82"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是否制定学生健康管理制度。是否明确责任人，信息是否完整，是否明确报送途径、流程。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是否制定预防接种证查验制度。是否责任具体到人，是否明确处置流程。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是否制定环境卫生检查通报制度。是否明确责任人，是否明确检查时间和通报方式。</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44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是否制定通风制度。是否明确责任人，明确通风时间、频次、方式，是否制定检查记录表。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76"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是否制定消毒制度。是否明确责任人，明确消毒时间、频次、方式、场所，消毒液使用是否科学、准确（双教函</w:t>
            </w:r>
            <w:r>
              <w:rPr>
                <w:rStyle w:val="10"/>
                <w:rFonts w:hAnsi="方正仿宋_GBK"/>
              </w:rPr>
              <w:t>〔</w:t>
            </w:r>
            <w:r>
              <w:rPr>
                <w:rStyle w:val="11"/>
                <w:rFonts w:hint="default"/>
              </w:rPr>
              <w:t>2020</w:t>
            </w:r>
            <w:r>
              <w:rPr>
                <w:rStyle w:val="10"/>
                <w:rFonts w:hAnsi="方正仿宋_GBK"/>
              </w:rPr>
              <w:t>〕</w:t>
            </w:r>
            <w:r>
              <w:rPr>
                <w:rStyle w:val="11"/>
                <w:rFonts w:hint="default"/>
              </w:rPr>
              <w:t>7号文件《卫生清洁消毒指南》），是否制定检查记录表。</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校园管理</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是否在校门、教室、食堂、宿舍、图书馆等开展体温检测，人员安排是否具体，记录管理是否完备。</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是否建立出入校门管理制度。查看审批流程是否完善。</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是否建立外来人员实名登记备案制度。查看登记内容、备案表管理等。</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（二）</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联动机制</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学校内部联动</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是否成立防控工作领导小组，领导小组成员是否明确职责分工，是否包括学校领导、各部门、卫生室</w:t>
            </w:r>
            <w:r>
              <w:rPr>
                <w:rStyle w:val="12"/>
                <w:rFonts w:eastAsia="方正仿宋_GBK"/>
              </w:rPr>
              <w:t>(</w:t>
            </w:r>
            <w:r>
              <w:rPr>
                <w:rStyle w:val="11"/>
                <w:rFonts w:hint="default"/>
              </w:rPr>
              <w:t>保健室</w:t>
            </w:r>
            <w:r>
              <w:rPr>
                <w:rStyle w:val="12"/>
                <w:rFonts w:eastAsia="方正仿宋_GBK"/>
              </w:rPr>
              <w:t>)</w:t>
            </w:r>
            <w:r>
              <w:rPr>
                <w:rStyle w:val="11"/>
                <w:rFonts w:hint="default"/>
              </w:rPr>
              <w:t>、食品安全管理人员。</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4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是否建立学校、年级、班级、家长四级防控工作联系网络，是否能及时收集、报送信息。</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查阅资料、现场连线</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是否明确年级、班级公共卫生责任报告人和学校疫情报告人。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查阅资料、现场连线</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各学生宿舍</w:t>
            </w:r>
            <w:r>
              <w:rPr>
                <w:rStyle w:val="12"/>
                <w:rFonts w:eastAsia="方正仿宋_GBK"/>
              </w:rPr>
              <w:t>(</w:t>
            </w:r>
            <w:r>
              <w:rPr>
                <w:rStyle w:val="11"/>
                <w:rFonts w:hint="default"/>
              </w:rPr>
              <w:t>楼</w:t>
            </w:r>
            <w:r>
              <w:rPr>
                <w:rStyle w:val="12"/>
                <w:rFonts w:eastAsia="方正仿宋_GBK"/>
              </w:rPr>
              <w:t>)</w:t>
            </w:r>
            <w:r>
              <w:rPr>
                <w:rStyle w:val="11"/>
                <w:rFonts w:hint="default"/>
              </w:rPr>
              <w:t>、教学楼、食堂是否设立卫生督查员。</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部门联动</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是否聘请医疗卫生人员担任卫生副校长及履职情况。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是否与属地镇（街道）、社区、卫生院、派出所等部门建立联防联控机制，是否明确联系人、联系电话。</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（三）</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隐患整治</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校园周边</w:t>
            </w:r>
          </w:p>
        </w:tc>
        <w:tc>
          <w:tcPr>
            <w:tcW w:w="81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校园周边道路交通安全标识、标线是否完善。</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有无“黑校车”“黑出租”“黑摩的”等各种非法营运车辆。</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有无歌舞厅、电子游戏厅、黑网吧等营业性场所。</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有无各种违章建筑及易倒易塌的危险建筑。</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有无易导致学生发生事故的场所及影响学校和学生安全的场所和隐患。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校园内</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是否对校舍安全、消防安全、危化品安全等开展校园安全隐患大排查。是否存在影响开学的安全隐患。</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5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（四）</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师生摸排</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重点人员</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是否对重点人员（中、高风险地区，境外人员）进行筛查，是否建立教职员工和学生重点人群的专项台账（含住址、身体状况、家属情况等）</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62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健康信息报告单</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师生健康报告单信息收集是否完整，信息是否精准。（成都市双流区各级各类学校防控新型冠状病毒感染的肺炎开学工作指南）是否责任具体到人，是否明确报送途径、流程。</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cs="Times New Roman"/>
                <w:color w:val="000000"/>
                <w:szCs w:val="21"/>
              </w:rPr>
            </w:pPr>
          </w:p>
        </w:tc>
      </w:tr>
      <w:tr>
        <w:tblPrEx>
          <w:tblCellMar>
            <w:top w:w="0" w:type="dxa"/>
            <w:left w:w="0" w:type="dxa"/>
            <w:bottom w:w="0" w:type="dxa"/>
            <w:right w:w="0" w:type="dxa"/>
          </w:tblCellMar>
        </w:tblPrEx>
        <w:trPr>
          <w:trHeight w:val="3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健康监测</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开学前</w:t>
            </w:r>
            <w:r>
              <w:rPr>
                <w:rStyle w:val="12"/>
                <w:rFonts w:eastAsia="方正仿宋_GBK"/>
              </w:rPr>
              <w:t>14</w:t>
            </w:r>
            <w:r>
              <w:rPr>
                <w:rStyle w:val="11"/>
                <w:rFonts w:hint="default"/>
              </w:rPr>
              <w:t>天是否对学生进行居家健康监测的追踪、管理、报告。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开学前14天是否对教职员工</w:t>
            </w:r>
            <w:r>
              <w:rPr>
                <w:rStyle w:val="12"/>
                <w:rFonts w:eastAsia="方正仿宋_GBK"/>
              </w:rPr>
              <w:t>(</w:t>
            </w:r>
            <w:r>
              <w:rPr>
                <w:rStyle w:val="11"/>
                <w:rFonts w:hint="default"/>
              </w:rPr>
              <w:t>含食堂从业人员等）进行居家健康监测的追踪、管理、报告。</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4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（五）</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师资调配</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教师安排</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学校师资调配是否到位。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查看教师工作安排表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教学衔接</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是否制定线上教学和返校开学的教学衔接计划，是否对没有条件接受在线学习或学习效果不好的学生制定个性化教学辅导计划。</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查阅计划（方案）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6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（六）</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教学用书</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教学用书</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教学用书是否已到学校（或已发放学生），数量是否足够。</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查阅记录</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709"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（七）</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物资储备</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防疫物资</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Times New Roman" w:hAnsi="Times New Roman" w:cs="Times New Roman"/>
                <w:color w:val="000000"/>
                <w:szCs w:val="21"/>
              </w:rPr>
            </w:pPr>
            <w:r>
              <w:rPr>
                <w:rStyle w:val="11"/>
                <w:rFonts w:hint="default"/>
              </w:rPr>
              <w:t>是否配备足够的口罩、额温枪、体温计、消毒物资等防疫物资（按照成教函〔</w:t>
            </w:r>
            <w:r>
              <w:rPr>
                <w:rStyle w:val="12"/>
              </w:rPr>
              <w:t>2020</w:t>
            </w:r>
            <w:r>
              <w:rPr>
                <w:rStyle w:val="11"/>
                <w:rFonts w:hint="default"/>
              </w:rPr>
              <w:t>〕</w:t>
            </w:r>
            <w:r>
              <w:rPr>
                <w:rStyle w:val="12"/>
              </w:rPr>
              <w:t>17</w:t>
            </w:r>
            <w:r>
              <w:rPr>
                <w:rStyle w:val="11"/>
                <w:rFonts w:hint="default"/>
              </w:rPr>
              <w:t>号《应急物资保障建议》）。是否建立管理使用台账。消毒液和酒精是否分开存放。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卫生间是否配齐配足洗手液、肥皂和擦手纸巾等，是否张贴“七步洗手法”图示，保证水龙头等设施正常使用。</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942"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设施设备</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40" w:lineRule="exact"/>
              <w:textAlignment w:val="top"/>
              <w:rPr>
                <w:rFonts w:ascii="Times New Roman" w:hAnsi="Times New Roman" w:cs="Times New Roman"/>
                <w:color w:val="000000"/>
                <w:szCs w:val="21"/>
              </w:rPr>
            </w:pPr>
            <w:r>
              <w:rPr>
                <w:rStyle w:val="11"/>
                <w:rFonts w:hint="default"/>
              </w:rPr>
              <w:t>是否设立临时隔离观察室，设置是否规范（空间足够，相对独立，不紧靠教室、食堂及学生易到达场所，采光通风良好，有标识，具体见双教函〔</w:t>
            </w:r>
            <w:r>
              <w:rPr>
                <w:rStyle w:val="12"/>
              </w:rPr>
              <w:t>2020</w:t>
            </w:r>
            <w:r>
              <w:rPr>
                <w:rStyle w:val="11"/>
                <w:rFonts w:hint="default"/>
              </w:rPr>
              <w:t>〕</w:t>
            </w:r>
            <w:r>
              <w:rPr>
                <w:rStyle w:val="12"/>
              </w:rPr>
              <w:t>7</w:t>
            </w:r>
            <w:r>
              <w:rPr>
                <w:rStyle w:val="11"/>
                <w:rFonts w:hint="default"/>
              </w:rPr>
              <w:t>号文件《隔离室设置指引》）观察室物资是否配齐配足（按照成教函〔</w:t>
            </w:r>
            <w:r>
              <w:rPr>
                <w:rStyle w:val="12"/>
              </w:rPr>
              <w:t>2020</w:t>
            </w:r>
            <w:r>
              <w:rPr>
                <w:rStyle w:val="11"/>
                <w:rFonts w:hint="default"/>
              </w:rPr>
              <w:t>〕</w:t>
            </w:r>
            <w:r>
              <w:rPr>
                <w:rStyle w:val="12"/>
              </w:rPr>
              <w:t>17</w:t>
            </w:r>
            <w:r>
              <w:rPr>
                <w:rStyle w:val="11"/>
                <w:rFonts w:hint="default"/>
              </w:rPr>
              <w:t>号《应急物资保障建议》）。是否明确具体负责人。</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（八）</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人员培训</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宣传教育</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是否向家长做好政策解释工作，提供开学复课工作指引。</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查阅资料、现场连线</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85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是否通过网络、新媒体、微信、</w:t>
            </w:r>
            <w:r>
              <w:rPr>
                <w:rStyle w:val="13"/>
                <w:rFonts w:eastAsia="方正仿宋_GBK"/>
              </w:rPr>
              <w:t>QQ</w:t>
            </w:r>
            <w:r>
              <w:rPr>
                <w:rStyle w:val="11"/>
                <w:rFonts w:hint="default"/>
              </w:rPr>
              <w:t>群对师生和学生家长开展防控新型冠状病毒肺炎知识宣传教育，指导师生做好居家、返程、返校防控。学生是否完成安全教育平台的新冠肺炎疫情防控专题教育。</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40" w:lineRule="exact"/>
              <w:jc w:val="left"/>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是否充分利用学校宣传栏、显示屏等加大对教职员工和学生、家长进行宣传教育、在校园内张贴宣传海报、横幅等形成防控的氛围。</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4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课程表是否开齐开足健康教育课程，是否落实时学时，加大传染疾病防控。</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人员培训</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spacing w:line="240" w:lineRule="exact"/>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是否对全体教职员工开展防控制度、个人防护与消毒等知识和技能培训。教师是否在市继续教育网进行新冠肺炎防控知识和技能培训，并修满学分。</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是否对学校管理干部、保安、宿管、食堂工作人员、校医（卫生保健人员）、班主任开展疫情防控卫生员培训。</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8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是否对校车司机及随车照管人员开展防控知识培训。（使用校车学校）</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7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应急演练</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是否对照学校疫情防控应急预案进行演练。查看演练记录、演练方案、影像资料等，现场询问是否及时发现问题，整改措施是否到位，教职工对岗位职责是否清楚。</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4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（九）</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卫生整治</w:t>
            </w: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清洁卫生</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是否开展学校爱国卫生运动，修剪树木、清除杂草，清除垃圾，校园是否卫生整洁。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41"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消毒通风</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学校是否在开学前</w:t>
            </w:r>
            <w:r>
              <w:rPr>
                <w:rStyle w:val="12"/>
                <w:rFonts w:eastAsia="方正仿宋_GBK"/>
              </w:rPr>
              <w:t>3</w:t>
            </w:r>
            <w:r>
              <w:rPr>
                <w:rStyle w:val="11"/>
                <w:rFonts w:hint="default"/>
              </w:rPr>
              <w:t>天对校园环境和公共场所（学生宿舍、食堂、图书馆、会议室、音乐厅、生活区等）等场所物体表面进行预防性消毒处理，教室开窗通风。</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查阅记录、实地查看</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Calibri"/>
                <w:color w:val="000000"/>
                <w:szCs w:val="21"/>
              </w:rPr>
            </w:pP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36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口罩处置</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是否设置专门的口罩回收垃圾桶。实地查看数量和设置的位置是否规范。</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cs="Calibri"/>
                <w:color w:val="000000"/>
                <w:szCs w:val="21"/>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580" w:hRule="atLeast"/>
        </w:trPr>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（十）</w:t>
            </w:r>
            <w:r>
              <w:rPr>
                <w:rFonts w:hint="eastAsia" w:ascii="方正仿宋_GBK" w:hAnsi="方正仿宋_GBK" w:eastAsia="方正仿宋_GBK" w:cs="方正仿宋_GBK"/>
                <w:color w:val="000000"/>
                <w:kern w:val="0"/>
                <w:szCs w:val="21"/>
              </w:rPr>
              <w:br w:type="textWrapping"/>
            </w:r>
            <w:r>
              <w:rPr>
                <w:rFonts w:hint="eastAsia" w:ascii="方正仿宋_GBK" w:hAnsi="方正仿宋_GBK" w:eastAsia="方正仿宋_GBK" w:cs="方正仿宋_GBK"/>
                <w:color w:val="000000"/>
                <w:kern w:val="0"/>
                <w:szCs w:val="21"/>
              </w:rPr>
              <w:t>后勤支持</w:t>
            </w:r>
          </w:p>
        </w:tc>
        <w:tc>
          <w:tcPr>
            <w:tcW w:w="10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食堂管理</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是否健全食品安全管理制度，食品原材料的采购、加工、销售等环节是否规范，强化学校大宗食品配送公司（）供货商人员入校体温和健康监管。严禁采购食用野生动物。</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cs="Calibri"/>
                <w:color w:val="000000"/>
                <w:szCs w:val="21"/>
              </w:rPr>
            </w:pPr>
          </w:p>
        </w:tc>
      </w:tr>
      <w:tr>
        <w:tblPrEx>
          <w:tblCellMar>
            <w:top w:w="0" w:type="dxa"/>
            <w:left w:w="0" w:type="dxa"/>
            <w:bottom w:w="0" w:type="dxa"/>
            <w:right w:w="0" w:type="dxa"/>
          </w:tblCellMar>
        </w:tblPrEx>
        <w:trPr>
          <w:trHeight w:val="353"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是否落实食堂硬件设施“三防措施”（防蝇、防尘、防鼠），是否按规定处理餐厨垃圾。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32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是否建立食物中毒等应急预案。随机访谈教职员工应急处置流程知悉情况。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是否加入成都市食品原材料电子商务溯源平台，是否完成明厨亮灶工程建设。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查阅记录，实地查看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是否开展物表消毒和地表消毒，对餐具、用具进行清洗消毒。</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查阅记录，实地查看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是否对供水设施进行检测，是否更换滤芯，水质检测是否达标。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查阅记录，实地查看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是否建立教职员工、学生取餐，错峰就餐制度。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宋体" w:hAnsi="宋体"/>
                <w:color w:val="000000"/>
                <w:szCs w:val="21"/>
              </w:rPr>
            </w:pPr>
          </w:p>
        </w:tc>
      </w:tr>
      <w:tr>
        <w:tblPrEx>
          <w:tblCellMar>
            <w:top w:w="0" w:type="dxa"/>
            <w:left w:w="0" w:type="dxa"/>
            <w:bottom w:w="0" w:type="dxa"/>
            <w:right w:w="0" w:type="dxa"/>
          </w:tblCellMar>
        </w:tblPrEx>
        <w:trPr>
          <w:trHeight w:val="285"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校园内食堂是否有过期霉烂变质食品及原材料。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实地查看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r>
      <w:tr>
        <w:tblPrEx>
          <w:tblCellMar>
            <w:top w:w="0" w:type="dxa"/>
            <w:left w:w="0" w:type="dxa"/>
            <w:bottom w:w="0" w:type="dxa"/>
            <w:right w:w="0" w:type="dxa"/>
          </w:tblCellMar>
        </w:tblPrEx>
        <w:trPr>
          <w:trHeight w:val="703"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是否配备专职食堂食品安全管理员。是否配备专兼职营养师。是否开展食堂从业人员管理和培训。查验健康证是否过期。有无传染性疾病或其他不适合从事食堂服务工作的情况。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查阅资料，现场问询</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cs="Calibri"/>
                <w:color w:val="000000"/>
                <w:szCs w:val="21"/>
              </w:rPr>
            </w:pPr>
          </w:p>
        </w:tc>
      </w:tr>
      <w:tr>
        <w:tblPrEx>
          <w:tblCellMar>
            <w:top w:w="0" w:type="dxa"/>
            <w:left w:w="0" w:type="dxa"/>
            <w:bottom w:w="0" w:type="dxa"/>
            <w:right w:w="0" w:type="dxa"/>
          </w:tblCellMar>
        </w:tblPrEx>
        <w:trPr>
          <w:trHeight w:val="600" w:hRule="atLeast"/>
        </w:trPr>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K" w:hAnsi="方正仿宋_GBK" w:eastAsia="方正仿宋_GBK" w:cs="方正仿宋_GBK"/>
                <w:color w:val="000000"/>
                <w:szCs w:val="21"/>
              </w:rPr>
            </w:pPr>
          </w:p>
        </w:tc>
        <w:tc>
          <w:tcPr>
            <w:tcW w:w="10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关心关爱教职员工</w:t>
            </w:r>
          </w:p>
        </w:tc>
        <w:tc>
          <w:tcPr>
            <w:tcW w:w="81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是否关心教职工身心健康，是否开展心理健康教育，解决教职工工作生活实际困难。</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color w:val="000000"/>
                <w:szCs w:val="21"/>
              </w:rPr>
            </w:pPr>
            <w:r>
              <w:rPr>
                <w:rFonts w:hint="eastAsia" w:ascii="方正仿宋_GBK" w:hAnsi="方正仿宋_GBK" w:eastAsia="方正仿宋_GBK" w:cs="方正仿宋_GBK"/>
                <w:color w:val="000000"/>
                <w:kern w:val="0"/>
                <w:szCs w:val="21"/>
              </w:rPr>
              <w:t>查阅资料，随机访谈</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left"/>
              <w:rPr>
                <w:rFonts w:ascii="Times New Roman" w:hAnsi="Times New Roman" w:cs="Times New Roman"/>
                <w:color w:val="000000"/>
                <w:szCs w:val="21"/>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Times New Roman" w:hAnsi="Times New Roman" w:cs="Times New Roman"/>
                <w:color w:val="000000"/>
                <w:szCs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cs="Calibri"/>
                <w:color w:val="000000"/>
                <w:szCs w:val="21"/>
              </w:rPr>
            </w:pPr>
          </w:p>
        </w:tc>
      </w:tr>
      <w:tr>
        <w:tblPrEx>
          <w:tblCellMar>
            <w:top w:w="0" w:type="dxa"/>
            <w:left w:w="0" w:type="dxa"/>
            <w:bottom w:w="0" w:type="dxa"/>
            <w:right w:w="0" w:type="dxa"/>
          </w:tblCellMar>
        </w:tblPrEx>
        <w:trPr>
          <w:trHeight w:val="1180" w:hRule="atLeast"/>
        </w:trPr>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K" w:hAnsi="方正仿宋_GBK" w:eastAsia="方正仿宋_GBK" w:cs="方正仿宋_GBK"/>
                <w:b/>
                <w:color w:val="000000"/>
                <w:szCs w:val="21"/>
              </w:rPr>
            </w:pPr>
            <w:r>
              <w:rPr>
                <w:rFonts w:hint="eastAsia" w:ascii="方正仿宋_GBK" w:hAnsi="方正仿宋_GBK" w:eastAsia="方正仿宋_GBK" w:cs="方正仿宋_GBK"/>
                <w:b/>
                <w:color w:val="000000"/>
                <w:kern w:val="0"/>
                <w:szCs w:val="21"/>
              </w:rPr>
              <w:t>结论</w:t>
            </w:r>
          </w:p>
        </w:tc>
        <w:tc>
          <w:tcPr>
            <w:tcW w:w="1293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cs="Times New Roman"/>
                <w:b/>
                <w:color w:val="000000"/>
                <w:szCs w:val="21"/>
              </w:rPr>
            </w:pPr>
            <w:r>
              <w:rPr>
                <w:rFonts w:ascii="Times New Roman" w:hAnsi="Times New Roman" w:cs="Times New Roman"/>
                <w:b/>
                <w:color w:val="000000"/>
                <w:kern w:val="0"/>
                <w:szCs w:val="21"/>
              </w:rPr>
              <w:t>1.</w:t>
            </w:r>
            <w:r>
              <w:rPr>
                <w:rFonts w:hint="eastAsia" w:ascii="方正仿宋_GBK" w:hAnsi="方正仿宋_GBK" w:eastAsia="方正仿宋_GBK" w:cs="方正仿宋_GBK"/>
                <w:b/>
                <w:color w:val="000000"/>
                <w:kern w:val="0"/>
                <w:szCs w:val="21"/>
              </w:rPr>
              <w:t xml:space="preserve">学校自查（是/否达到开学复课条件）             </w:t>
            </w:r>
            <w:r>
              <w:rPr>
                <w:rStyle w:val="14"/>
                <w:rFonts w:ascii="宋体" w:hAnsi="宋体"/>
                <w:sz w:val="24"/>
              </w:rPr>
              <w:t>2.</w:t>
            </w:r>
            <w:r>
              <w:rPr>
                <w:rFonts w:hint="eastAsia" w:ascii="方正仿宋_GBK" w:hAnsi="方正仿宋_GBK" w:eastAsia="方正仿宋_GBK" w:cs="方正仿宋_GBK"/>
                <w:b/>
                <w:color w:val="000000"/>
                <w:kern w:val="0"/>
                <w:szCs w:val="21"/>
              </w:rPr>
              <w:t xml:space="preserve">督导评估组评估（是/否达到开学复课条件） </w:t>
            </w:r>
          </w:p>
        </w:tc>
      </w:tr>
      <w:tr>
        <w:tblPrEx>
          <w:tblCellMar>
            <w:top w:w="0" w:type="dxa"/>
            <w:left w:w="0" w:type="dxa"/>
            <w:bottom w:w="0" w:type="dxa"/>
            <w:right w:w="0" w:type="dxa"/>
          </w:tblCellMar>
        </w:tblPrEx>
        <w:trPr>
          <w:trHeight w:val="1000" w:hRule="atLeast"/>
        </w:trPr>
        <w:tc>
          <w:tcPr>
            <w:tcW w:w="15030"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方正仿宋_GBK" w:hAnsi="方正仿宋_GBK" w:eastAsia="方正仿宋_GBK" w:cs="方正仿宋_GBK"/>
                <w:b/>
                <w:color w:val="000000"/>
                <w:sz w:val="24"/>
              </w:rPr>
            </w:pPr>
            <w:r>
              <w:rPr>
                <w:rFonts w:hint="eastAsia" w:ascii="方正仿宋_GBK" w:hAnsi="方正仿宋_GBK" w:eastAsia="方正仿宋_GBK" w:cs="方正仿宋_GBK"/>
                <w:b/>
                <w:color w:val="000000"/>
                <w:kern w:val="0"/>
                <w:sz w:val="24"/>
              </w:rPr>
              <w:t xml:space="preserve">检查人员签字：                                 督导评估组副组长签字：                 督导评估组组长签字：                             </w:t>
            </w:r>
          </w:p>
        </w:tc>
      </w:tr>
    </w:tbl>
    <w:p/>
    <w:sectPr>
      <w:footerReference r:id="rId3" w:type="default"/>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581082"/>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8A2"/>
    <w:rsid w:val="00024157"/>
    <w:rsid w:val="000548EE"/>
    <w:rsid w:val="00071090"/>
    <w:rsid w:val="000A785C"/>
    <w:rsid w:val="000B3591"/>
    <w:rsid w:val="000B35AD"/>
    <w:rsid w:val="000D4E6B"/>
    <w:rsid w:val="000E623A"/>
    <w:rsid w:val="000F50D3"/>
    <w:rsid w:val="00123104"/>
    <w:rsid w:val="00127904"/>
    <w:rsid w:val="00161298"/>
    <w:rsid w:val="00167EF9"/>
    <w:rsid w:val="0018183C"/>
    <w:rsid w:val="00186186"/>
    <w:rsid w:val="001F231C"/>
    <w:rsid w:val="00256CA8"/>
    <w:rsid w:val="00257BE4"/>
    <w:rsid w:val="00260C29"/>
    <w:rsid w:val="0027685A"/>
    <w:rsid w:val="00292529"/>
    <w:rsid w:val="002A7B11"/>
    <w:rsid w:val="002C7AF5"/>
    <w:rsid w:val="002E04D2"/>
    <w:rsid w:val="002F1C33"/>
    <w:rsid w:val="003055E8"/>
    <w:rsid w:val="00307E60"/>
    <w:rsid w:val="00321369"/>
    <w:rsid w:val="003401EB"/>
    <w:rsid w:val="003450A6"/>
    <w:rsid w:val="00347C6E"/>
    <w:rsid w:val="0035193D"/>
    <w:rsid w:val="0036329D"/>
    <w:rsid w:val="003834D3"/>
    <w:rsid w:val="003863E1"/>
    <w:rsid w:val="003868DD"/>
    <w:rsid w:val="003C339A"/>
    <w:rsid w:val="003C4FE3"/>
    <w:rsid w:val="003D2DF2"/>
    <w:rsid w:val="003F6F09"/>
    <w:rsid w:val="00425C0B"/>
    <w:rsid w:val="00451245"/>
    <w:rsid w:val="00486C07"/>
    <w:rsid w:val="004D1E11"/>
    <w:rsid w:val="004F49E4"/>
    <w:rsid w:val="00551D93"/>
    <w:rsid w:val="005954F7"/>
    <w:rsid w:val="005C6AC0"/>
    <w:rsid w:val="005D13F5"/>
    <w:rsid w:val="005D2FE5"/>
    <w:rsid w:val="005E395A"/>
    <w:rsid w:val="00603A65"/>
    <w:rsid w:val="006179AD"/>
    <w:rsid w:val="00621993"/>
    <w:rsid w:val="006605AE"/>
    <w:rsid w:val="00690E15"/>
    <w:rsid w:val="006958BC"/>
    <w:rsid w:val="006D472C"/>
    <w:rsid w:val="006F4AD6"/>
    <w:rsid w:val="00705CFA"/>
    <w:rsid w:val="00711FA4"/>
    <w:rsid w:val="00714AA4"/>
    <w:rsid w:val="00726727"/>
    <w:rsid w:val="007400BE"/>
    <w:rsid w:val="0075345F"/>
    <w:rsid w:val="007655EC"/>
    <w:rsid w:val="0077273A"/>
    <w:rsid w:val="00783AFD"/>
    <w:rsid w:val="0079669A"/>
    <w:rsid w:val="007A7B3C"/>
    <w:rsid w:val="007B3E95"/>
    <w:rsid w:val="007C0100"/>
    <w:rsid w:val="0083018B"/>
    <w:rsid w:val="00852681"/>
    <w:rsid w:val="008577DF"/>
    <w:rsid w:val="00891022"/>
    <w:rsid w:val="008941CF"/>
    <w:rsid w:val="008942C3"/>
    <w:rsid w:val="008971DD"/>
    <w:rsid w:val="008B2A69"/>
    <w:rsid w:val="008B54E1"/>
    <w:rsid w:val="008C23D2"/>
    <w:rsid w:val="008F0E04"/>
    <w:rsid w:val="008F73C2"/>
    <w:rsid w:val="00930897"/>
    <w:rsid w:val="00936E60"/>
    <w:rsid w:val="00961059"/>
    <w:rsid w:val="00961550"/>
    <w:rsid w:val="009729A1"/>
    <w:rsid w:val="00987358"/>
    <w:rsid w:val="009958A5"/>
    <w:rsid w:val="009E5A5B"/>
    <w:rsid w:val="00A3353B"/>
    <w:rsid w:val="00A33C63"/>
    <w:rsid w:val="00A53370"/>
    <w:rsid w:val="00A70FBF"/>
    <w:rsid w:val="00A91E7F"/>
    <w:rsid w:val="00AA61CB"/>
    <w:rsid w:val="00AB0078"/>
    <w:rsid w:val="00AB77C1"/>
    <w:rsid w:val="00AC3E61"/>
    <w:rsid w:val="00AD056D"/>
    <w:rsid w:val="00AD0A82"/>
    <w:rsid w:val="00AE5A86"/>
    <w:rsid w:val="00B20646"/>
    <w:rsid w:val="00B730AA"/>
    <w:rsid w:val="00B87ED6"/>
    <w:rsid w:val="00B959B6"/>
    <w:rsid w:val="00BA0201"/>
    <w:rsid w:val="00BA5983"/>
    <w:rsid w:val="00BA5A54"/>
    <w:rsid w:val="00BB3B82"/>
    <w:rsid w:val="00BC0646"/>
    <w:rsid w:val="00BD767B"/>
    <w:rsid w:val="00BE59D3"/>
    <w:rsid w:val="00BF0DFD"/>
    <w:rsid w:val="00C00CA5"/>
    <w:rsid w:val="00C02962"/>
    <w:rsid w:val="00C40CDE"/>
    <w:rsid w:val="00C42578"/>
    <w:rsid w:val="00C51B7D"/>
    <w:rsid w:val="00C869E6"/>
    <w:rsid w:val="00C92E49"/>
    <w:rsid w:val="00C933AE"/>
    <w:rsid w:val="00C9497D"/>
    <w:rsid w:val="00C96F78"/>
    <w:rsid w:val="00D005A0"/>
    <w:rsid w:val="00D11BDB"/>
    <w:rsid w:val="00D125E9"/>
    <w:rsid w:val="00D1360D"/>
    <w:rsid w:val="00D21D5C"/>
    <w:rsid w:val="00D75721"/>
    <w:rsid w:val="00D776B1"/>
    <w:rsid w:val="00D871DE"/>
    <w:rsid w:val="00D928C2"/>
    <w:rsid w:val="00D929EE"/>
    <w:rsid w:val="00DA4037"/>
    <w:rsid w:val="00DB0366"/>
    <w:rsid w:val="00DE4670"/>
    <w:rsid w:val="00DF0A77"/>
    <w:rsid w:val="00DF577C"/>
    <w:rsid w:val="00DF730F"/>
    <w:rsid w:val="00E14078"/>
    <w:rsid w:val="00E3784B"/>
    <w:rsid w:val="00E676E0"/>
    <w:rsid w:val="00E719A8"/>
    <w:rsid w:val="00E71EF7"/>
    <w:rsid w:val="00E74C29"/>
    <w:rsid w:val="00E8025E"/>
    <w:rsid w:val="00E81BD4"/>
    <w:rsid w:val="00E958A2"/>
    <w:rsid w:val="00E974DE"/>
    <w:rsid w:val="00EB70D4"/>
    <w:rsid w:val="00EC28A6"/>
    <w:rsid w:val="00EC648F"/>
    <w:rsid w:val="00ED13DC"/>
    <w:rsid w:val="00EE4513"/>
    <w:rsid w:val="00EF1A10"/>
    <w:rsid w:val="00EF2A12"/>
    <w:rsid w:val="00EF762D"/>
    <w:rsid w:val="00F2327E"/>
    <w:rsid w:val="00F51147"/>
    <w:rsid w:val="00F569A4"/>
    <w:rsid w:val="00F8076E"/>
    <w:rsid w:val="00FB1A7B"/>
    <w:rsid w:val="00FB50C1"/>
    <w:rsid w:val="00FB7621"/>
    <w:rsid w:val="00FD0D6F"/>
    <w:rsid w:val="00FD12E7"/>
    <w:rsid w:val="00FE2293"/>
    <w:rsid w:val="00FE4B45"/>
    <w:rsid w:val="00FE5F65"/>
    <w:rsid w:val="1B41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5"/>
    <w:semiHidden/>
    <w:unhideWhenUsed/>
    <w:uiPriority w:val="99"/>
    <w:rPr>
      <w:rFonts w:ascii="宋体"/>
      <w:sz w:val="18"/>
      <w:szCs w:val="18"/>
    </w:rPr>
  </w:style>
  <w:style w:type="paragraph" w:styleId="3">
    <w:name w:val="footer"/>
    <w:basedOn w:val="1"/>
    <w:link w:val="17"/>
    <w:unhideWhenUsed/>
    <w:uiPriority w:val="99"/>
    <w:pPr>
      <w:tabs>
        <w:tab w:val="center" w:pos="4153"/>
        <w:tab w:val="right" w:pos="8306"/>
      </w:tabs>
      <w:snapToGrid w:val="0"/>
      <w:jc w:val="left"/>
    </w:pPr>
    <w:rPr>
      <w:sz w:val="18"/>
      <w:szCs w:val="18"/>
    </w:rPr>
  </w:style>
  <w:style w:type="paragraph" w:styleId="4">
    <w:name w:val="header"/>
    <w:basedOn w:val="1"/>
    <w:link w:val="1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font21"/>
    <w:basedOn w:val="6"/>
    <w:uiPriority w:val="0"/>
    <w:rPr>
      <w:rFonts w:hint="default" w:ascii="Times New Roman" w:hAnsi="Times New Roman" w:cs="Times New Roman"/>
      <w:color w:val="000000"/>
      <w:sz w:val="36"/>
      <w:szCs w:val="36"/>
      <w:u w:val="none"/>
    </w:rPr>
  </w:style>
  <w:style w:type="character" w:customStyle="1" w:styleId="8">
    <w:name w:val="font71"/>
    <w:basedOn w:val="6"/>
    <w:uiPriority w:val="0"/>
    <w:rPr>
      <w:rFonts w:hint="eastAsia" w:ascii="方正小标宋简体" w:hAnsi="方正小标宋简体" w:eastAsia="方正小标宋简体" w:cs="方正小标宋简体"/>
      <w:color w:val="000000"/>
      <w:sz w:val="36"/>
      <w:szCs w:val="36"/>
      <w:u w:val="none"/>
    </w:rPr>
  </w:style>
  <w:style w:type="character" w:customStyle="1" w:styleId="9">
    <w:name w:val="font61"/>
    <w:basedOn w:val="6"/>
    <w:uiPriority w:val="0"/>
    <w:rPr>
      <w:rFonts w:hint="default" w:ascii="Times New Roman" w:hAnsi="Times New Roman" w:cs="Times New Roman"/>
      <w:b/>
      <w:color w:val="000000"/>
      <w:sz w:val="21"/>
      <w:szCs w:val="21"/>
      <w:u w:val="none"/>
    </w:rPr>
  </w:style>
  <w:style w:type="character" w:customStyle="1" w:styleId="10">
    <w:name w:val="font12"/>
    <w:basedOn w:val="6"/>
    <w:qFormat/>
    <w:uiPriority w:val="0"/>
    <w:rPr>
      <w:rFonts w:ascii="仿宋_GB2312" w:eastAsia="仿宋_GB2312" w:cs="仿宋_GB2312"/>
      <w:color w:val="000000"/>
      <w:sz w:val="21"/>
      <w:szCs w:val="21"/>
      <w:u w:val="none"/>
    </w:rPr>
  </w:style>
  <w:style w:type="character" w:customStyle="1" w:styleId="11">
    <w:name w:val="font91"/>
    <w:basedOn w:val="6"/>
    <w:qFormat/>
    <w:uiPriority w:val="0"/>
    <w:rPr>
      <w:rFonts w:hint="eastAsia" w:ascii="方正仿宋_GBK" w:hAnsi="方正仿宋_GBK" w:eastAsia="方正仿宋_GBK" w:cs="方正仿宋_GBK"/>
      <w:color w:val="000000"/>
      <w:sz w:val="21"/>
      <w:szCs w:val="21"/>
      <w:u w:val="none"/>
    </w:rPr>
  </w:style>
  <w:style w:type="character" w:customStyle="1" w:styleId="12">
    <w:name w:val="font41"/>
    <w:basedOn w:val="6"/>
    <w:qFormat/>
    <w:uiPriority w:val="0"/>
    <w:rPr>
      <w:rFonts w:hint="default" w:ascii="Times New Roman" w:hAnsi="Times New Roman" w:cs="Times New Roman"/>
      <w:color w:val="000000"/>
      <w:sz w:val="21"/>
      <w:szCs w:val="21"/>
      <w:u w:val="none"/>
    </w:rPr>
  </w:style>
  <w:style w:type="character" w:customStyle="1" w:styleId="13">
    <w:name w:val="font111"/>
    <w:basedOn w:val="6"/>
    <w:qFormat/>
    <w:uiPriority w:val="0"/>
    <w:rPr>
      <w:rFonts w:hint="default" w:ascii="Times New Roman" w:hAnsi="Times New Roman" w:cs="Times New Roman"/>
      <w:color w:val="000000"/>
      <w:sz w:val="21"/>
      <w:szCs w:val="21"/>
      <w:u w:val="none"/>
    </w:rPr>
  </w:style>
  <w:style w:type="character" w:customStyle="1" w:styleId="14">
    <w:name w:val="font122"/>
    <w:basedOn w:val="6"/>
    <w:qFormat/>
    <w:uiPriority w:val="0"/>
    <w:rPr>
      <w:rFonts w:hint="default" w:ascii="Times New Roman" w:hAnsi="Times New Roman" w:cs="Times New Roman"/>
      <w:b/>
      <w:color w:val="000000"/>
      <w:sz w:val="21"/>
      <w:szCs w:val="21"/>
      <w:u w:val="none"/>
    </w:rPr>
  </w:style>
  <w:style w:type="character" w:customStyle="1" w:styleId="15">
    <w:name w:val="文档结构图 Char"/>
    <w:basedOn w:val="6"/>
    <w:link w:val="2"/>
    <w:semiHidden/>
    <w:uiPriority w:val="99"/>
    <w:rPr>
      <w:rFonts w:ascii="宋体" w:hAnsi="Calibri" w:eastAsia="宋体" w:cs="宋体"/>
      <w:sz w:val="18"/>
      <w:szCs w:val="18"/>
    </w:rPr>
  </w:style>
  <w:style w:type="character" w:customStyle="1" w:styleId="16">
    <w:name w:val="页眉 Char"/>
    <w:basedOn w:val="6"/>
    <w:link w:val="4"/>
    <w:semiHidden/>
    <w:uiPriority w:val="99"/>
    <w:rPr>
      <w:rFonts w:ascii="Calibri" w:hAnsi="Calibri" w:eastAsia="宋体" w:cs="宋体"/>
      <w:sz w:val="18"/>
      <w:szCs w:val="18"/>
    </w:rPr>
  </w:style>
  <w:style w:type="character" w:customStyle="1" w:styleId="17">
    <w:name w:val="页脚 Char"/>
    <w:basedOn w:val="6"/>
    <w:link w:val="3"/>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585</Words>
  <Characters>3338</Characters>
  <Lines>27</Lines>
  <Paragraphs>7</Paragraphs>
  <TotalTime>7</TotalTime>
  <ScaleCrop>false</ScaleCrop>
  <LinksUpToDate>false</LinksUpToDate>
  <CharactersWithSpaces>3916</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2020-03-29T04:55:00Z</dcterms:created>
  <dc:creator>fz</dc:creator>
  <cp:lastModifiedBy>Administrator</cp:lastModifiedBy>
  <cp:lastPrinted>2020-04-02T01:01:26Z</cp:lastPrinted>
  <dcterms:modified xsi:type="dcterms:W3CDTF">2020-04-02T01:24:13Z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